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Theme="majorEastAsia" w:hAnsiTheme="majorEastAsia" w:eastAsiaTheme="majorEastAsia"/>
        </w:rPr>
      </w:pPr>
      <w:r>
        <w:rPr>
          <w:rFonts w:hint="eastAsia"/>
        </w:rPr>
        <mc:AlternateContent>
          <mc:Choice Requires="wps">
            <w:drawing>
              <wp:anchor simplePos="0" relativeHeight="0" behindDoc="0" locked="0" layoutInCell="1" hidden="0" allowOverlap="1">
                <wp:simplePos x="0" y="0"/>
                <wp:positionH relativeFrom="margin">
                  <wp:posOffset>0</wp:posOffset>
                </wp:positionH>
                <wp:positionV relativeFrom="paragraph">
                  <wp:posOffset>57150</wp:posOffset>
                </wp:positionV>
                <wp:extent cx="6168390" cy="93345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6168390" cy="933450"/>
                        </a:xfrm>
                        <a:prstGeom prst="rect">
                          <a:avLst/>
                        </a:prstGeom>
                        <a:solidFill>
                          <a:sysClr val="window" lastClr="FFFFFF"/>
                        </a:solidFill>
                        <a:ln w="6350">
                          <a:solidFill>
                            <a:sysClr val="windowText" lastClr="000000"/>
                          </a:solidFill>
                          <a:miter/>
                        </a:ln>
                      </wps:spPr>
                      <wps:txbx>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テキスト ボックス 1" style="margin-top:4.5pt;mso-position-vertical-relative:text;mso-position-horizontal-relative:margin;position:absolute;height:73.5pt;width:485.7pt;margin-left:0pt;z-index:0;" o:spid="_x0000_s1026" o:allowincell="t" o:allowoverlap="t" filled="t" fillcolor="#ffffff" stroked="t" strokecolor="#000000" strokeweight="0.5pt" o:spt="202" type="#_x0000_t202">
                <v:fill/>
                <v:stroke filltype="solid"/>
                <v:textbox style="layout-flow:horizontal;">
                  <w:txbxContent>
                    <w:p>
                      <w:pPr>
                        <w:pStyle w:val="0"/>
                        <w:spacing w:after="145" w:afterLines="50" w:afterAutospacing="0" w:line="28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rPr>
                        <w:t>令和５年</w:t>
                      </w:r>
                      <w:r>
                        <w:rPr>
                          <w:rFonts w:hint="eastAsia" w:ascii="ＭＳ ゴシック" w:hAnsi="ＭＳ ゴシック" w:eastAsia="ＭＳ ゴシック"/>
                        </w:rPr>
                        <w:t>1</w:t>
                      </w:r>
                      <w:r>
                        <w:rPr>
                          <w:rFonts w:hint="default" w:ascii="ＭＳ ゴシック" w:hAnsi="ＭＳ ゴシック" w:eastAsia="ＭＳ ゴシック"/>
                        </w:rPr>
                        <w:t>0</w:t>
                      </w:r>
                      <w:r>
                        <w:rPr>
                          <w:rFonts w:hint="eastAsia" w:ascii="ＭＳ ゴシック" w:hAnsi="ＭＳ ゴシック" w:eastAsia="ＭＳ ゴシック"/>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line="280" w:lineRule="exact"/>
                        <w:ind w:firstLine="280" w:firstLineChars="100"/>
                        <w:rPr>
                          <w:rFonts w:hint="default" w:ascii="ＭＳ ゴシック" w:hAnsi="ＭＳ ゴシック" w:eastAsia="ＭＳ ゴシック"/>
                        </w:rPr>
                      </w:pPr>
                      <w:r>
                        <w:rPr>
                          <w:rFonts w:hint="eastAsia" w:ascii="ＭＳ ゴシック" w:hAnsi="ＭＳ ゴシック" w:eastAsia="ＭＳ ゴシック"/>
                          <w:sz w:val="28"/>
                        </w:rPr>
                        <w:t>□</w:t>
                      </w:r>
                      <w:r>
                        <w:rPr>
                          <w:rFonts w:hint="eastAsia" w:ascii="ＭＳ ゴシック" w:hAnsi="ＭＳ ゴシック" w:eastAsia="ＭＳ ゴシック"/>
                          <w:sz w:val="28"/>
                        </w:rPr>
                        <w:t xml:space="preserve"> </w:t>
                      </w:r>
                      <w:r>
                        <w:rPr>
                          <w:rFonts w:hint="eastAsia" w:ascii="ＭＳ ゴシック" w:hAnsi="ＭＳ ゴシック" w:eastAsia="ＭＳ ゴシック"/>
                        </w:rPr>
                        <w:t>当該申請は既存融資の借換を目的とした申請です。</w:t>
                      </w:r>
                    </w:p>
                  </w:txbxContent>
                </v:textbox>
                <v:imagedata o:title=""/>
                <w10:wrap type="none" anchorx="margin" anchory="text"/>
              </v:shape>
            </w:pict>
          </mc:Fallback>
        </mc:AlternateContent>
      </w: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p>
    <w:p>
      <w:pPr>
        <w:pStyle w:val="0"/>
        <w:rPr>
          <w:rFonts w:hint="default" w:asciiTheme="majorEastAsia" w:hAnsiTheme="majorEastAsia" w:eastAsiaTheme="majorEastAsia"/>
        </w:rPr>
      </w:pPr>
      <w:r>
        <w:rPr>
          <w:rFonts w:hint="eastAsia" w:asciiTheme="majorEastAsia" w:hAnsiTheme="majorEastAsia" w:eastAsiaTheme="majorEastAsia"/>
        </w:rPr>
        <w:t>様式第４－２</w:t>
      </w:r>
    </w:p>
    <w:tbl>
      <w:tblPr>
        <w:tblStyle w:val="25"/>
        <w:tblW w:w="9736" w:type="dxa"/>
        <w:tblInd w:w="0" w:type="dxa"/>
        <w:tblLayout w:type="fixed"/>
        <w:tblLook w:firstRow="1" w:lastRow="0" w:firstColumn="1" w:lastColumn="0" w:noHBand="0" w:noVBand="1" w:val="04A0"/>
      </w:tblPr>
      <w:tblGrid>
        <w:gridCol w:w="9736"/>
      </w:tblGrid>
      <w:tr>
        <w:trPr/>
        <w:tc>
          <w:tcPr>
            <w:tcW w:w="9736" w:type="dxa"/>
            <w:vAlign w:val="top"/>
          </w:tcPr>
          <w:p>
            <w:pPr>
              <w:pStyle w:val="0"/>
              <w:jc w:val="center"/>
              <w:rPr>
                <w:rFonts w:hint="default" w:asciiTheme="majorEastAsia" w:hAnsiTheme="majorEastAsia" w:eastAsiaTheme="majorEastAsia"/>
              </w:rPr>
            </w:pPr>
          </w:p>
          <w:p>
            <w:pPr>
              <w:pStyle w:val="0"/>
              <w:jc w:val="center"/>
              <w:rPr>
                <w:rFonts w:hint="default" w:asciiTheme="majorEastAsia" w:hAnsiTheme="majorEastAsia" w:eastAsiaTheme="majorEastAsia"/>
              </w:rPr>
            </w:pPr>
            <w:r>
              <w:rPr>
                <w:rFonts w:hint="eastAsia" w:asciiTheme="majorEastAsia" w:hAnsiTheme="majorEastAsia" w:eastAsiaTheme="majorEastAsia"/>
              </w:rPr>
              <w:t>中小企業信用保険法第２条第５項第４号の規定による認定申請書</w:t>
            </w:r>
          </w:p>
          <w:p>
            <w:pPr>
              <w:pStyle w:val="0"/>
              <w:jc w:val="center"/>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left"/>
              <w:rPr>
                <w:rFonts w:hint="default" w:asciiTheme="majorEastAsia" w:hAnsiTheme="majorEastAsia" w:eastAsiaTheme="majorEastAsia"/>
              </w:rPr>
            </w:pPr>
            <w:r>
              <w:rPr>
                <w:rFonts w:hint="eastAsia" w:asciiTheme="majorEastAsia" w:hAnsiTheme="majorEastAsia" w:eastAsiaTheme="majorEastAsia"/>
              </w:rPr>
              <w:t>　　妙高市長　　宛て</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申請者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住　所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名　称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代表者　　　　　　　　　　　　　　　　　　</w:t>
            </w:r>
          </w:p>
          <w:p>
            <w:pPr>
              <w:pStyle w:val="0"/>
              <w:jc w:val="lef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　私は、　　　　　　の発生に起因して、下記のとおり、経営の安定に支障が生じておりますので、中小企業信用保険法第２条第５項第４号の規定に基づき認定されるようお願いします。</w:t>
            </w:r>
          </w:p>
          <w:p>
            <w:pPr>
              <w:pStyle w:val="0"/>
              <w:jc w:val="left"/>
              <w:rPr>
                <w:rFonts w:hint="default" w:asciiTheme="majorEastAsia" w:hAnsiTheme="majorEastAsia" w:eastAsiaTheme="majorEastAsia"/>
              </w:rPr>
            </w:pPr>
          </w:p>
          <w:p>
            <w:pPr>
              <w:pStyle w:val="15"/>
              <w:rPr>
                <w:rFonts w:hint="default"/>
              </w:rPr>
            </w:pPr>
            <w:r>
              <w:rPr>
                <w:rFonts w:hint="eastAsia"/>
              </w:rPr>
              <w:t>記</w:t>
            </w:r>
          </w:p>
          <w:p>
            <w:pPr>
              <w:pStyle w:val="0"/>
              <w:rPr>
                <w:rFonts w:hint="default"/>
              </w:rPr>
            </w:pPr>
          </w:p>
          <w:p>
            <w:pPr>
              <w:pStyle w:val="0"/>
              <w:rPr>
                <w:rFonts w:hint="default"/>
                <w:u w:val="single" w:color="auto"/>
              </w:rPr>
            </w:pPr>
            <w:r>
              <w:rPr>
                <w:rFonts w:hint="eastAsia"/>
              </w:rPr>
              <w:t>　１　事業開始年月日　　　　　　　　　　　　　　　　　</w:t>
            </w:r>
            <w:r>
              <w:rPr>
                <w:rFonts w:hint="eastAsia"/>
                <w:u w:val="single" w:color="auto"/>
              </w:rPr>
              <w:t>　　　　　　　年　　　月　　　日</w:t>
            </w:r>
          </w:p>
          <w:p>
            <w:pPr>
              <w:pStyle w:val="0"/>
              <w:rPr>
                <w:rFonts w:hint="default"/>
              </w:rPr>
            </w:pPr>
          </w:p>
          <w:p>
            <w:pPr>
              <w:pStyle w:val="0"/>
              <w:rPr>
                <w:rFonts w:hint="default"/>
              </w:rPr>
            </w:pPr>
            <w:r>
              <w:rPr>
                <w:rFonts w:hint="eastAsia"/>
              </w:rPr>
              <w:t>　２　（１）売上高等</w:t>
            </w:r>
          </w:p>
          <w:p>
            <w:pPr>
              <w:pStyle w:val="0"/>
              <w:rPr>
                <w:rFonts w:hint="default"/>
              </w:rPr>
            </w:pPr>
            <w:r>
              <w:rPr>
                <w:rFonts w:hint="eastAsia"/>
              </w:rPr>
              <w:t>　　　（イ）最近１か月間の売上高等　　　　　　</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134"/>
              <w:gridCol w:w="284"/>
              <w:gridCol w:w="1559"/>
              <w:gridCol w:w="4966"/>
            </w:tblGrid>
            <w:tr>
              <w:trPr/>
              <w:tc>
                <w:tcPr>
                  <w:tcW w:w="11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C</w:t>
                  </w:r>
                  <w:r>
                    <w:rPr>
                      <w:rFonts w:hint="eastAsia"/>
                    </w:rPr>
                    <w:t>－</w:t>
                  </w:r>
                  <w:r>
                    <w:rPr>
                      <w:rFonts w:hint="eastAsia"/>
                    </w:rPr>
                    <w:t>A</w:t>
                  </w:r>
                </w:p>
              </w:tc>
              <w:tc>
                <w:tcPr>
                  <w:tcW w:w="284" w:type="dxa"/>
                  <w:vAlign w:val="top"/>
                </w:tcPr>
                <w:p>
                  <w:pPr>
                    <w:pStyle w:val="0"/>
                    <w:tabs>
                      <w:tab w:val="left" w:leader="none" w:pos="855"/>
                    </w:tabs>
                    <w:rPr>
                      <w:rFonts w:hint="default"/>
                    </w:rPr>
                  </w:pPr>
                </w:p>
              </w:tc>
              <w:tc>
                <w:tcPr>
                  <w:tcW w:w="1559" w:type="dxa"/>
                  <w:vMerge w:val="restart"/>
                  <w:vAlign w:val="center"/>
                </w:tcPr>
                <w:p>
                  <w:pPr>
                    <w:pStyle w:val="0"/>
                    <w:rPr>
                      <w:rFonts w:hint="default"/>
                    </w:rPr>
                  </w:pPr>
                  <w:r>
                    <w:rPr>
                      <w:rFonts w:hint="eastAsia"/>
                    </w:rPr>
                    <w:t>×１００</w:t>
                  </w:r>
                </w:p>
              </w:tc>
              <w:tc>
                <w:tcPr>
                  <w:tcW w:w="4966" w:type="dxa"/>
                  <w:vMerge w:val="restart"/>
                  <w:vAlign w:val="center"/>
                </w:tcPr>
                <w:p>
                  <w:pPr>
                    <w:pStyle w:val="0"/>
                    <w:jc w:val="right"/>
                    <w:rPr>
                      <w:rFonts w:hint="default"/>
                      <w:u w:val="single" w:color="auto"/>
                    </w:rPr>
                  </w:pPr>
                  <w:r>
                    <w:rPr>
                      <w:rFonts w:hint="eastAsia"/>
                    </w:rPr>
                    <w:t>　　</w:t>
                  </w:r>
                  <w:r>
                    <w:rPr>
                      <w:rFonts w:hint="eastAsia"/>
                      <w:u w:val="single" w:color="auto"/>
                    </w:rPr>
                    <w:t>減少率　　　　　　％（実績）</w:t>
                  </w:r>
                </w:p>
              </w:tc>
            </w:tr>
            <w:tr>
              <w:trPr/>
              <w:tc>
                <w:tcPr>
                  <w:tcW w:w="11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C</w:t>
                  </w:r>
                </w:p>
              </w:tc>
              <w:tc>
                <w:tcPr>
                  <w:tcW w:w="284" w:type="dxa"/>
                  <w:vAlign w:val="top"/>
                </w:tcPr>
                <w:p>
                  <w:pPr>
                    <w:pStyle w:val="0"/>
                    <w:rPr>
                      <w:rFonts w:hint="default"/>
                    </w:rPr>
                  </w:pPr>
                </w:p>
              </w:tc>
              <w:tc>
                <w:tcPr>
                  <w:tcW w:w="1559" w:type="dxa"/>
                  <w:vMerge w:val="continue"/>
                  <w:vAlign w:val="top"/>
                </w:tcPr>
                <w:p>
                  <w:pPr>
                    <w:pStyle w:val="0"/>
                    <w:rPr>
                      <w:rFonts w:hint="default"/>
                    </w:rPr>
                  </w:pPr>
                </w:p>
              </w:tc>
              <w:tc>
                <w:tcPr>
                  <w:tcW w:w="4966" w:type="dxa"/>
                  <w:vMerge w:val="continue"/>
                  <w:vAlign w:val="top"/>
                </w:tcPr>
                <w:p>
                  <w:pPr>
                    <w:pStyle w:val="0"/>
                    <w:rPr>
                      <w:rFonts w:hint="default"/>
                    </w:rPr>
                  </w:pPr>
                </w:p>
              </w:tc>
            </w:tr>
          </w:tbl>
          <w:p>
            <w:pPr>
              <w:pStyle w:val="0"/>
              <w:rPr>
                <w:rFonts w:hint="default"/>
              </w:rPr>
            </w:pPr>
            <w:r>
              <w:rPr>
                <w:rFonts w:hint="eastAsia"/>
              </w:rPr>
              <w:t>　　　　</w:t>
            </w:r>
            <w:r>
              <w:rPr>
                <w:rFonts w:hint="eastAsia"/>
              </w:rPr>
              <w:t>A</w:t>
            </w:r>
            <w:r>
              <w:rPr>
                <w:rFonts w:hint="eastAsia"/>
              </w:rPr>
              <w:t>：災害等の発生における最近１か月間売上高等　　　　</w:t>
            </w:r>
            <w:r>
              <w:rPr>
                <w:rFonts w:hint="eastAsia"/>
                <w:u w:val="single" w:color="auto"/>
              </w:rPr>
              <w:t>　　　　　　　　　　　　円</w:t>
            </w:r>
          </w:p>
          <w:p>
            <w:pPr>
              <w:pStyle w:val="0"/>
              <w:rPr>
                <w:rFonts w:hint="default"/>
              </w:rPr>
            </w:pPr>
          </w:p>
          <w:p>
            <w:pPr>
              <w:pStyle w:val="0"/>
              <w:rPr>
                <w:rFonts w:hint="default"/>
              </w:rPr>
            </w:pPr>
            <w:r>
              <w:rPr>
                <w:rFonts w:hint="eastAsia"/>
              </w:rPr>
              <w:t>　　　　</w:t>
            </w:r>
            <w:r>
              <w:rPr>
                <w:rFonts w:hint="eastAsia"/>
              </w:rPr>
              <w:t>B</w:t>
            </w:r>
            <w:r>
              <w:rPr>
                <w:rFonts w:hint="eastAsia"/>
              </w:rPr>
              <w:t>：</w:t>
            </w:r>
            <w:r>
              <w:rPr>
                <w:rFonts w:hint="eastAsia"/>
              </w:rPr>
              <w:t>A</w:t>
            </w:r>
            <w:r>
              <w:rPr>
                <w:rFonts w:hint="eastAsia"/>
              </w:rPr>
              <w:t>の期間前２か月間の売上高等　　　　　　　　　　</w:t>
            </w:r>
            <w:r>
              <w:rPr>
                <w:rFonts w:hint="eastAsia"/>
                <w:u w:val="single" w:color="auto"/>
              </w:rPr>
              <w:t>　　　　　　　　　　　　円</w:t>
            </w:r>
          </w:p>
          <w:p>
            <w:pPr>
              <w:pStyle w:val="0"/>
              <w:rPr>
                <w:rFonts w:hint="default"/>
              </w:rPr>
            </w:pPr>
          </w:p>
          <w:p>
            <w:pPr>
              <w:pStyle w:val="0"/>
              <w:rPr>
                <w:rFonts w:hint="default"/>
              </w:rPr>
            </w:pPr>
            <w:r>
              <w:rPr>
                <w:rFonts w:hint="eastAsia"/>
              </w:rPr>
              <w:t>　　　　</w:t>
            </w:r>
            <w:r>
              <w:rPr>
                <w:rFonts w:hint="eastAsia"/>
              </w:rPr>
              <w:t>C</w:t>
            </w:r>
            <w:r>
              <w:rPr>
                <w:rFonts w:hint="eastAsia"/>
              </w:rPr>
              <w:t>：最近３か月間の売上高等の平均　　　　　　　　　　</w:t>
            </w:r>
            <w:r>
              <w:rPr>
                <w:rFonts w:hint="eastAsia"/>
                <w:u w:val="single" w:color="auto"/>
              </w:rPr>
              <w:t>　　　　　　　　　　　　円</w:t>
            </w:r>
          </w:p>
          <w:tbl>
            <w:tblPr>
              <w:tblStyle w:val="25"/>
              <w:tblW w:w="7943" w:type="dxa"/>
              <w:tblInd w:w="11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268"/>
              <w:gridCol w:w="284"/>
              <w:gridCol w:w="1134"/>
              <w:gridCol w:w="4257"/>
            </w:tblGrid>
            <w:tr>
              <w:trPr/>
              <w:tc>
                <w:tcPr>
                  <w:tcW w:w="2268"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w:t>
                  </w:r>
                  <w:r>
                    <w:rPr>
                      <w:rFonts w:hint="eastAsia"/>
                    </w:rPr>
                    <w:t>A</w:t>
                  </w:r>
                  <w:r>
                    <w:rPr>
                      <w:rFonts w:hint="eastAsia"/>
                    </w:rPr>
                    <w:t>＋</w:t>
                  </w:r>
                  <w:r>
                    <w:rPr>
                      <w:rFonts w:hint="eastAsia"/>
                    </w:rPr>
                    <w:t>B</w:t>
                  </w:r>
                  <w:r>
                    <w:rPr>
                      <w:rFonts w:hint="eastAsia"/>
                    </w:rPr>
                    <w:t>）</w:t>
                  </w:r>
                </w:p>
              </w:tc>
              <w:tc>
                <w:tcPr>
                  <w:tcW w:w="284" w:type="dxa"/>
                  <w:vAlign w:val="top"/>
                </w:tcPr>
                <w:p>
                  <w:pPr>
                    <w:pStyle w:val="0"/>
                    <w:tabs>
                      <w:tab w:val="left" w:leader="none" w:pos="855"/>
                    </w:tabs>
                    <w:rPr>
                      <w:rFonts w:hint="default"/>
                    </w:rPr>
                  </w:pPr>
                </w:p>
              </w:tc>
              <w:tc>
                <w:tcPr>
                  <w:tcW w:w="1134" w:type="dxa"/>
                  <w:vMerge w:val="restart"/>
                  <w:vAlign w:val="center"/>
                </w:tcPr>
                <w:p>
                  <w:pPr>
                    <w:pStyle w:val="0"/>
                    <w:rPr>
                      <w:rFonts w:hint="default"/>
                    </w:rPr>
                  </w:pPr>
                </w:p>
              </w:tc>
              <w:tc>
                <w:tcPr>
                  <w:tcW w:w="4257" w:type="dxa"/>
                  <w:vMerge w:val="restart"/>
                  <w:vAlign w:val="center"/>
                </w:tcPr>
                <w:p>
                  <w:pPr>
                    <w:pStyle w:val="0"/>
                    <w:jc w:val="right"/>
                    <w:rPr>
                      <w:rFonts w:hint="default"/>
                      <w:u w:val="single" w:color="auto"/>
                    </w:rPr>
                  </w:pPr>
                </w:p>
              </w:tc>
            </w:tr>
            <w:tr>
              <w:trPr/>
              <w:tc>
                <w:tcPr>
                  <w:tcW w:w="2268"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３</w:t>
                  </w:r>
                </w:p>
              </w:tc>
              <w:tc>
                <w:tcPr>
                  <w:tcW w:w="284" w:type="dxa"/>
                  <w:vAlign w:val="top"/>
                </w:tcPr>
                <w:p>
                  <w:pPr>
                    <w:pStyle w:val="0"/>
                    <w:rPr>
                      <w:rFonts w:hint="default"/>
                    </w:rPr>
                  </w:pPr>
                </w:p>
              </w:tc>
              <w:tc>
                <w:tcPr>
                  <w:tcW w:w="1134" w:type="dxa"/>
                  <w:vMerge w:val="continue"/>
                  <w:vAlign w:val="top"/>
                </w:tcPr>
                <w:p>
                  <w:pPr>
                    <w:pStyle w:val="0"/>
                    <w:rPr>
                      <w:rFonts w:hint="default"/>
                    </w:rPr>
                  </w:pPr>
                </w:p>
              </w:tc>
              <w:tc>
                <w:tcPr>
                  <w:tcW w:w="4257" w:type="dxa"/>
                  <w:vMerge w:val="continue"/>
                  <w:vAlign w:val="top"/>
                </w:tcPr>
                <w:p>
                  <w:pPr>
                    <w:pStyle w:val="0"/>
                    <w:rPr>
                      <w:rFonts w:hint="default"/>
                    </w:rPr>
                  </w:pPr>
                </w:p>
              </w:tc>
            </w:tr>
          </w:tbl>
          <w:p>
            <w:pPr>
              <w:pStyle w:val="0"/>
              <w:rPr>
                <w:rFonts w:hint="default"/>
              </w:rPr>
            </w:pPr>
            <w:r>
              <w:rPr>
                <w:rFonts w:hint="eastAsia"/>
              </w:rPr>
              <w:t>　３　売上高等が減少し、又は減少すると見込まれる理由</w:t>
            </w:r>
          </w:p>
          <w:p>
            <w:pPr>
              <w:pStyle w:val="0"/>
              <w:rPr>
                <w:rFonts w:hint="default"/>
              </w:rPr>
            </w:pPr>
          </w:p>
          <w:p>
            <w:pPr>
              <w:pStyle w:val="0"/>
              <w:rPr>
                <w:rFonts w:hint="default"/>
              </w:rPr>
            </w:pPr>
          </w:p>
          <w:p>
            <w:pPr>
              <w:pStyle w:val="0"/>
              <w:rPr>
                <w:rFonts w:hint="default"/>
              </w:rPr>
            </w:pPr>
          </w:p>
        </w:tc>
      </w:tr>
    </w:tbl>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（留意事項）</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①　本様式は、業歴３か月以上１年１か月未満の場合あるいは前年以降、事業拡大等により前年比較が適当でない特段の事情がある場合に使用します。</w:t>
      </w:r>
    </w:p>
    <w:p>
      <w:pPr>
        <w:pStyle w:val="0"/>
        <w:ind w:firstLine="210" w:firstLineChars="100"/>
        <w:rPr>
          <w:rFonts w:hint="default" w:asciiTheme="majorEastAsia" w:hAnsiTheme="majorEastAsia" w:eastAsiaTheme="majorEastAsia"/>
        </w:rPr>
      </w:pPr>
      <w:r>
        <w:rPr>
          <w:rFonts w:hint="eastAsia" w:asciiTheme="majorEastAsia" w:hAnsiTheme="majorEastAsia" w:eastAsiaTheme="majorEastAsia"/>
        </w:rPr>
        <w:t>②　本認定とは別に、金融機関及び信用保証協会による金融上の審査があります。</w:t>
      </w:r>
    </w:p>
    <w:p>
      <w:pPr>
        <w:pStyle w:val="0"/>
        <w:ind w:left="420" w:leftChars="100" w:hanging="210" w:hangingChars="100"/>
        <w:rPr>
          <w:rFonts w:hint="default" w:asciiTheme="majorEastAsia" w:hAnsiTheme="majorEastAsia" w:eastAsiaTheme="majorEastAsia"/>
        </w:rPr>
      </w:pPr>
      <w:r>
        <w:rPr>
          <w:rFonts w:hint="eastAsia" w:asciiTheme="majorEastAsia" w:hAnsiTheme="majorEastAsia" w:eastAsiaTheme="majorEastAsia"/>
        </w:rPr>
        <w:t>③　妙高市長から認定を受けた後、本認定の有効期間内に金融機関又は信用保証協会に対して、経営安定関連保証の申込みを行うことが必要です。</w:t>
      </w:r>
    </w:p>
    <w:tbl>
      <w:tblPr>
        <w:tblStyle w:val="25"/>
        <w:tblpPr w:leftFromText="0" w:rightFromText="0" w:topFromText="0" w:bottomFromText="0" w:vertAnchor="text" w:horzAnchor="margin" w:tblpX="-13" w:tblpY="30"/>
        <w:tblOverlap w:val="never"/>
        <w:tblW w:w="9742" w:type="dxa"/>
        <w:tblLayout w:type="fixed"/>
        <w:tblLook w:firstRow="1" w:lastRow="0" w:firstColumn="1" w:lastColumn="0" w:noHBand="0" w:noVBand="1" w:val="04A0"/>
      </w:tblPr>
      <w:tblGrid>
        <w:gridCol w:w="9742"/>
      </w:tblGrid>
      <w:tr>
        <w:trPr/>
        <w:tc>
          <w:tcPr>
            <w:tcW w:w="9742" w:type="dxa"/>
            <w:vAlign w:val="top"/>
          </w:tcPr>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観　　第　　　　　　　号　　</w:t>
            </w: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年　　　月　　　日　　</w:t>
            </w:r>
          </w:p>
          <w:p>
            <w:pPr>
              <w:pStyle w:val="0"/>
              <w:jc w:val="right"/>
              <w:rPr>
                <w:rFonts w:hint="default" w:asciiTheme="majorEastAsia" w:hAnsiTheme="majorEastAsia" w:eastAsiaTheme="majorEastAsia"/>
              </w:rPr>
            </w:pPr>
          </w:p>
          <w:p>
            <w:pPr>
              <w:pStyle w:val="0"/>
              <w:jc w:val="left"/>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jc w:val="left"/>
              <w:rPr>
                <w:rFonts w:hint="default" w:asciiTheme="majorEastAsia" w:hAnsiTheme="majorEastAsia" w:eastAsiaTheme="majorEastAsia"/>
              </w:rPr>
            </w:pPr>
            <w:r>
              <w:rPr>
                <w:rFonts w:hint="eastAsia" w:asciiTheme="majorEastAsia" w:hAnsiTheme="majorEastAsia" w:eastAsiaTheme="majorEastAsia"/>
              </w:rPr>
              <w:t>（注）本認定書の有効期間：　　　　年　　月　　日から　　　　年　　月　　日まで</w:t>
            </w:r>
          </w:p>
          <w:p>
            <w:pPr>
              <w:pStyle w:val="0"/>
              <w:jc w:val="left"/>
              <w:rPr>
                <w:rFonts w:hint="default" w:asciiTheme="majorEastAsia" w:hAnsiTheme="majorEastAsia" w:eastAsiaTheme="majorEastAsia"/>
              </w:rPr>
            </w:pPr>
          </w:p>
          <w:p>
            <w:pPr>
              <w:pStyle w:val="0"/>
              <w:wordWrap w:val="0"/>
              <w:jc w:val="right"/>
              <w:rPr>
                <w:rFonts w:hint="default" w:asciiTheme="majorEastAsia" w:hAnsiTheme="majorEastAsia" w:eastAsiaTheme="majorEastAsia"/>
              </w:rPr>
            </w:pPr>
            <w:r>
              <w:rPr>
                <w:rFonts w:hint="eastAsia" w:asciiTheme="majorEastAsia" w:hAnsiTheme="majorEastAsia" w:eastAsiaTheme="majorEastAsia"/>
              </w:rPr>
              <w:t>妙高市長　　　　　　　　　　</w:t>
            </w:r>
          </w:p>
          <w:p>
            <w:pPr>
              <w:pStyle w:val="0"/>
              <w:jc w:val="right"/>
              <w:rPr>
                <w:rFonts w:hint="default" w:asciiTheme="majorEastAsia" w:hAnsiTheme="majorEastAsia" w:eastAsiaTheme="majorEastAsia"/>
              </w:rPr>
            </w:pPr>
            <w:r>
              <w:rPr>
                <w:rFonts w:hint="eastAsia" w:asciiTheme="majorEastAsia" w:hAnsiTheme="majorEastAsia" w:eastAsiaTheme="majorEastAsia"/>
              </w:rPr>
              <w:t>　　　　　　</w:t>
            </w:r>
          </w:p>
        </w:tc>
      </w:tr>
    </w:tbl>
    <w:p>
      <w:pPr>
        <w:pStyle w:val="0"/>
        <w:rPr>
          <w:rFonts w:hint="default" w:asciiTheme="majorEastAsia" w:hAnsiTheme="majorEastAsia" w:eastAsiaTheme="majorEastAsia"/>
          <w:sz w:val="2"/>
        </w:rPr>
      </w:pPr>
      <w:bookmarkStart w:id="0" w:name="_GoBack"/>
      <w:bookmarkEnd w:id="0"/>
    </w:p>
    <w:sectPr>
      <w:pgSz w:w="11906" w:h="16838"/>
      <w:pgMar w:top="283" w:right="1077" w:bottom="454" w:left="1077" w:header="851" w:footer="992" w:gutter="0"/>
      <w:cols w:space="720"/>
      <w:textDirection w:val="lrTb"/>
      <w:docGrid w:type="line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ajorEastAsia" w:hAnsiTheme="majorEastAsia" w:eastAsiaTheme="majorEastAsia"/>
    </w:rPr>
  </w:style>
  <w:style w:type="character" w:styleId="16" w:customStyle="1">
    <w:name w:val="記 (文字)"/>
    <w:basedOn w:val="10"/>
    <w:next w:val="16"/>
    <w:link w:val="15"/>
    <w:uiPriority w:val="0"/>
    <w:rPr>
      <w:rFonts w:asciiTheme="majorEastAsia" w:hAnsiTheme="majorEastAsia" w:eastAsiaTheme="majorEastAsia"/>
    </w:rPr>
  </w:style>
  <w:style w:type="paragraph" w:styleId="17">
    <w:name w:val="Closing"/>
    <w:basedOn w:val="0"/>
    <w:next w:val="17"/>
    <w:link w:val="18"/>
    <w:uiPriority w:val="0"/>
    <w:pPr>
      <w:jc w:val="right"/>
    </w:pPr>
    <w:rPr>
      <w:rFonts w:asciiTheme="majorEastAsia" w:hAnsiTheme="majorEastAsia" w:eastAsiaTheme="majorEastAsia"/>
    </w:rPr>
  </w:style>
  <w:style w:type="character" w:styleId="18" w:customStyle="1">
    <w:name w:val="結語 (文字)"/>
    <w:basedOn w:val="10"/>
    <w:next w:val="18"/>
    <w:link w:val="17"/>
    <w:uiPriority w:val="0"/>
    <w:rPr>
      <w:rFonts w:asciiTheme="majorEastAsia" w:hAnsiTheme="majorEastAsia" w:eastAsiaTheme="majorEastAsia"/>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1</Pages>
  <Words>123</Words>
  <Characters>706</Characters>
  <Application>JUST Note</Application>
  <Lines>5</Lines>
  <Paragraphs>1</Paragraphs>
  <CharactersWithSpaces>828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WS14156</dc:creator>
  <cp:lastModifiedBy>蒲地まりな</cp:lastModifiedBy>
  <cp:lastPrinted>2020-12-14T07:51:00Z</cp:lastPrinted>
  <dcterms:created xsi:type="dcterms:W3CDTF">2019-10-24T01:16:00Z</dcterms:created>
  <dcterms:modified xsi:type="dcterms:W3CDTF">2024-02-07T02:54:07Z</dcterms:modified>
  <cp:revision>8</cp:revision>
</cp:coreProperties>
</file>