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rPr>
        <mc:AlternateContent>
          <mc:Choice Requires="wps">
            <w:drawing>
              <wp:anchor simplePos="0" relativeHeight="2" behindDoc="0" locked="0" layoutInCell="1" hidden="0" allowOverlap="1">
                <wp:simplePos x="0" y="0"/>
                <wp:positionH relativeFrom="margin">
                  <wp:posOffset>9525</wp:posOffset>
                </wp:positionH>
                <wp:positionV relativeFrom="paragraph">
                  <wp:posOffset>114300</wp:posOffset>
                </wp:positionV>
                <wp:extent cx="6168390" cy="9334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6168390" cy="933450"/>
                        </a:xfrm>
                        <a:prstGeom prst="rect">
                          <a:avLst/>
                        </a:prstGeom>
                        <a:solidFill>
                          <a:sysClr val="window" lastClr="FFFFFF"/>
                        </a:solidFill>
                        <a:ln w="6350">
                          <a:solidFill>
                            <a:sysClr val="windowText" lastClr="000000"/>
                          </a:solidFill>
                          <a:miter/>
                        </a:ln>
                      </wps:spPr>
                      <wps:txbx>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rPr>
                              <w:t>当該申請は既存融資の借換を目的とした申請です。</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9pt;mso-position-vertical-relative:text;mso-position-horizontal-relative:margin;position:absolute;height:73.5pt;width:485.7pt;margin-left:0.75pt;z-index:2;" o:spid="_x0000_s1026" o:allowincell="t" o:allowoverlap="t" filled="t" fillcolor="#ffffff" stroked="t" strokecolor="#000000" strokeweight="0.5pt" o:spt="202" type="#_x0000_t202">
                <v:fill/>
                <v:stroke filltype="solid"/>
                <v:textbox style="layout-flow:horizontal;">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rPr>
                        <w:t>当該申請は既存融資の借換を目的とした申請です。</w:t>
                      </w:r>
                    </w:p>
                  </w:txbxContent>
                </v:textbox>
                <v:imagedata o:title=""/>
                <w10:wrap type="none" anchorx="margin" anchory="text"/>
              </v:shape>
            </w:pict>
          </mc:Fallback>
        </mc:AlternateConten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様式第４－４－１</w:t>
      </w:r>
    </w:p>
    <w:tbl>
      <w:tblPr>
        <w:tblStyle w:val="25"/>
        <w:tblW w:w="9736" w:type="dxa"/>
        <w:tblInd w:w="0" w:type="dxa"/>
        <w:tblLayout w:type="fixed"/>
        <w:tblLook w:firstRow="1" w:lastRow="0" w:firstColumn="1" w:lastColumn="0" w:noHBand="0" w:noVBand="1" w:val="04A0"/>
      </w:tblPr>
      <w:tblGrid>
        <w:gridCol w:w="9736"/>
      </w:tblGrid>
      <w:tr>
        <w:trPr/>
        <w:tc>
          <w:tcPr>
            <w:tcW w:w="9736" w:type="dxa"/>
            <w:vAlign w:val="top"/>
          </w:tcPr>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中小企業信用保険法第２条第５項第４号の規定による認定申請書</w:t>
            </w:r>
          </w:p>
          <w:p>
            <w:pPr>
              <w:pStyle w:val="0"/>
              <w:jc w:val="center"/>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　　妙高市長　　宛て</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申請者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住　所　　　　　　　　　　　　　　　　　　</w:t>
            </w:r>
          </w:p>
          <w:p>
            <w:pPr>
              <w:pStyle w:val="0"/>
              <w:wordWrap w:val="0"/>
              <w:jc w:val="right"/>
              <w:rPr>
                <w:rFonts w:hint="default" w:asciiTheme="majorEastAsia" w:hAnsiTheme="majorEastAsia" w:eastAsiaTheme="majorEastAsia"/>
              </w:rPr>
            </w:pPr>
            <w:bookmarkStart w:id="0" w:name="_GoBack"/>
            <w:bookmarkEnd w:id="0"/>
            <w:r>
              <w:rPr>
                <w:rFonts w:hint="eastAsia" w:asciiTheme="majorEastAsia" w:hAnsiTheme="majorEastAsia" w:eastAsiaTheme="majorEastAsia"/>
              </w:rPr>
              <w:t>名　称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代表者　　　　　　　　　　　　　　　　　　</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　私は、　　　　　　の発生に起因して、下記のとおり、経営の安定に支障が生じておりますので、中小企業信用保険法第２条第５項第４号の規定に基づき認定されるようお願いします。</w:t>
            </w:r>
          </w:p>
          <w:p>
            <w:pPr>
              <w:pStyle w:val="0"/>
              <w:jc w:val="left"/>
              <w:rPr>
                <w:rFonts w:hint="default" w:asciiTheme="majorEastAsia" w:hAnsiTheme="majorEastAsia" w:eastAsiaTheme="majorEastAsia"/>
              </w:rPr>
            </w:pPr>
          </w:p>
          <w:p>
            <w:pPr>
              <w:pStyle w:val="15"/>
              <w:rPr>
                <w:rFonts w:hint="default"/>
              </w:rPr>
            </w:pPr>
            <w:r>
              <w:rPr>
                <w:rFonts w:hint="eastAsia"/>
              </w:rPr>
              <w:t>記</w:t>
            </w:r>
          </w:p>
          <w:p>
            <w:pPr>
              <w:pStyle w:val="0"/>
              <w:rPr>
                <w:rFonts w:hint="default"/>
              </w:rPr>
            </w:pPr>
          </w:p>
          <w:p>
            <w:pPr>
              <w:pStyle w:val="0"/>
              <w:rPr>
                <w:rFonts w:hint="default"/>
                <w:u w:val="single" w:color="auto"/>
              </w:rPr>
            </w:pPr>
            <w:r>
              <w:rPr>
                <w:rFonts w:hint="eastAsia"/>
              </w:rPr>
              <w:t>　１　事業開始年月日　　　　　　　　　　　　　　　　　</w:t>
            </w:r>
            <w:r>
              <w:rPr>
                <w:rFonts w:hint="eastAsia"/>
                <w:u w:val="single" w:color="auto"/>
              </w:rPr>
              <w:t>　　　　　　　年　　　月　　　日</w:t>
            </w:r>
          </w:p>
          <w:p>
            <w:pPr>
              <w:pStyle w:val="0"/>
              <w:rPr>
                <w:rFonts w:hint="default"/>
              </w:rPr>
            </w:pPr>
          </w:p>
          <w:p>
            <w:pPr>
              <w:pStyle w:val="0"/>
              <w:rPr>
                <w:rFonts w:hint="default"/>
              </w:rPr>
            </w:pPr>
            <w:r>
              <w:rPr>
                <w:rFonts w:hint="eastAsia"/>
              </w:rPr>
              <w:t>　２　（１）売上高等</w:t>
            </w:r>
          </w:p>
          <w:p>
            <w:pPr>
              <w:pStyle w:val="0"/>
              <w:rPr>
                <w:rFonts w:hint="default"/>
              </w:rPr>
            </w:pPr>
            <w:r>
              <w:rPr>
                <w:rFonts w:hint="eastAsia"/>
              </w:rPr>
              <w:t>　　　（イ）最近１か月間の売上高等　　　　　　</w:t>
            </w:r>
          </w:p>
          <w:tbl>
            <w:tblPr>
              <w:tblStyle w:val="25"/>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284"/>
              <w:gridCol w:w="1559"/>
              <w:gridCol w:w="4966"/>
            </w:tblGrid>
            <w:tr>
              <w:trPr/>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C</w:t>
                  </w:r>
                  <w:r>
                    <w:rPr>
                      <w:rFonts w:hint="eastAsia"/>
                    </w:rPr>
                    <w:t>－</w:t>
                  </w:r>
                  <w:r>
                    <w:rPr>
                      <w:rFonts w:hint="eastAsia"/>
                    </w:rPr>
                    <w:t>A</w:t>
                  </w:r>
                </w:p>
              </w:tc>
              <w:tc>
                <w:tcPr>
                  <w:tcW w:w="284" w:type="dxa"/>
                  <w:vAlign w:val="top"/>
                </w:tcPr>
                <w:p>
                  <w:pPr>
                    <w:pStyle w:val="0"/>
                    <w:tabs>
                      <w:tab w:val="left" w:leader="none" w:pos="855"/>
                    </w:tabs>
                    <w:rPr>
                      <w:rFonts w:hint="default"/>
                    </w:rPr>
                  </w:pPr>
                </w:p>
              </w:tc>
              <w:tc>
                <w:tcPr>
                  <w:tcW w:w="1559" w:type="dxa"/>
                  <w:vMerge w:val="restart"/>
                  <w:vAlign w:val="center"/>
                </w:tcPr>
                <w:p>
                  <w:pPr>
                    <w:pStyle w:val="0"/>
                    <w:rPr>
                      <w:rFonts w:hint="default"/>
                    </w:rPr>
                  </w:pPr>
                  <w:r>
                    <w:rPr>
                      <w:rFonts w:hint="eastAsia"/>
                    </w:rPr>
                    <w:t>×１００</w:t>
                  </w:r>
                </w:p>
              </w:tc>
              <w:tc>
                <w:tcPr>
                  <w:tcW w:w="4966" w:type="dxa"/>
                  <w:vMerge w:val="restart"/>
                  <w:vAlign w:val="center"/>
                </w:tcPr>
                <w:p>
                  <w:pPr>
                    <w:pStyle w:val="0"/>
                    <w:jc w:val="right"/>
                    <w:rPr>
                      <w:rFonts w:hint="default"/>
                      <w:u w:val="single" w:color="auto"/>
                    </w:rPr>
                  </w:pPr>
                  <w:r>
                    <w:rPr>
                      <w:rFonts w:hint="eastAsia"/>
                    </w:rPr>
                    <w:t>　　</w:t>
                  </w:r>
                  <w:r>
                    <w:rPr>
                      <w:rFonts w:hint="eastAsia"/>
                      <w:u w:val="single" w:color="auto"/>
                    </w:rPr>
                    <w:t>減少率　　　　　　％（実績）</w:t>
                  </w:r>
                </w:p>
              </w:tc>
            </w:tr>
            <w:tr>
              <w:trPr/>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C</w:t>
                  </w:r>
                </w:p>
              </w:tc>
              <w:tc>
                <w:tcPr>
                  <w:tcW w:w="284" w:type="dxa"/>
                  <w:vAlign w:val="top"/>
                </w:tcPr>
                <w:p>
                  <w:pPr>
                    <w:pStyle w:val="0"/>
                    <w:rPr>
                      <w:rFonts w:hint="default"/>
                    </w:rPr>
                  </w:pPr>
                </w:p>
              </w:tc>
              <w:tc>
                <w:tcPr>
                  <w:tcW w:w="1559" w:type="dxa"/>
                  <w:vMerge w:val="continue"/>
                  <w:vAlign w:val="top"/>
                </w:tcPr>
                <w:p>
                  <w:pPr>
                    <w:pStyle w:val="0"/>
                    <w:rPr>
                      <w:rFonts w:hint="default"/>
                    </w:rPr>
                  </w:pPr>
                </w:p>
              </w:tc>
              <w:tc>
                <w:tcPr>
                  <w:tcW w:w="4966" w:type="dxa"/>
                  <w:vMerge w:val="continue"/>
                  <w:vAlign w:val="top"/>
                </w:tcPr>
                <w:p>
                  <w:pPr>
                    <w:pStyle w:val="0"/>
                    <w:rPr>
                      <w:rFonts w:hint="default"/>
                    </w:rPr>
                  </w:pPr>
                </w:p>
              </w:tc>
            </w:tr>
          </w:tbl>
          <w:p>
            <w:pPr>
              <w:pStyle w:val="0"/>
              <w:spacing w:line="276" w:lineRule="auto"/>
              <w:rPr>
                <w:rFonts w:hint="default"/>
              </w:rPr>
            </w:pPr>
            <w:r>
              <w:rPr>
                <w:rFonts w:hint="eastAsia"/>
              </w:rPr>
              <w:t>　　　　</w:t>
            </w:r>
            <w:r>
              <w:rPr>
                <w:rFonts w:hint="eastAsia"/>
              </w:rPr>
              <w:t>A</w:t>
            </w:r>
            <w:r>
              <w:rPr>
                <w:rFonts w:hint="eastAsia"/>
              </w:rPr>
              <w:t>：災害等の発生における最近１か月間売上高等　　　　</w:t>
            </w:r>
            <w:r>
              <w:rPr>
                <w:rFonts w:hint="eastAsia"/>
                <w:u w:val="single" w:color="auto"/>
              </w:rPr>
              <w:t>　　　　　　　　　　　　円</w:t>
            </w:r>
          </w:p>
          <w:p>
            <w:pPr>
              <w:pStyle w:val="0"/>
              <w:spacing w:line="276" w:lineRule="auto"/>
              <w:rPr>
                <w:rFonts w:hint="default"/>
              </w:rPr>
            </w:pPr>
            <w:r>
              <w:rPr>
                <w:rFonts w:hint="eastAsia"/>
              </w:rPr>
              <w:t>　　　　</w:t>
            </w:r>
            <w:r>
              <w:rPr>
                <w:rFonts w:hint="eastAsia"/>
              </w:rPr>
              <w:t>B</w:t>
            </w:r>
            <w:r>
              <w:rPr>
                <w:rFonts w:hint="eastAsia"/>
              </w:rPr>
              <w:t>：令和元年１０月から１２月の売上高等　　　　　　　</w:t>
            </w:r>
            <w:r>
              <w:rPr>
                <w:rFonts w:hint="eastAsia"/>
                <w:u w:val="single" w:color="auto"/>
              </w:rPr>
              <w:t>　　　　　　　　　　　　円</w:t>
            </w:r>
          </w:p>
          <w:p>
            <w:pPr>
              <w:pStyle w:val="0"/>
              <w:spacing w:line="276" w:lineRule="auto"/>
              <w:rPr>
                <w:rFonts w:hint="default"/>
                <w:u w:val="single" w:color="auto"/>
              </w:rPr>
            </w:pPr>
            <w:r>
              <w:rPr>
                <w:rFonts w:hint="eastAsia"/>
              </w:rPr>
              <w:t>　　　　</w:t>
            </w:r>
            <w:r>
              <w:rPr>
                <w:rFonts w:hint="eastAsia"/>
              </w:rPr>
              <w:t>C</w:t>
            </w:r>
            <w:r>
              <w:rPr>
                <w:rFonts w:hint="eastAsia"/>
              </w:rPr>
              <w:t>：令和元年１０月から１２月の平均売上高等　　　　　</w:t>
            </w:r>
            <w:r>
              <w:rPr>
                <w:rFonts w:hint="eastAsia"/>
                <w:u w:val="single" w:color="auto"/>
              </w:rPr>
              <w:t>　　　　　　　　　　　　円</w:t>
            </w:r>
          </w:p>
          <w:p>
            <w:pPr>
              <w:pStyle w:val="0"/>
              <w:rPr>
                <w:rFonts w:hint="default"/>
              </w:rPr>
            </w:pPr>
            <w:r>
              <w:rPr>
                <w:rFonts w:hint="eastAsia"/>
              </w:rPr>
              <w:t>　　　（ロ）最近３か月間の売上高等の実績見込み</w:t>
            </w:r>
          </w:p>
          <w:tbl>
            <w:tblPr>
              <w:tblStyle w:val="25"/>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268"/>
              <w:gridCol w:w="284"/>
              <w:gridCol w:w="1134"/>
              <w:gridCol w:w="4257"/>
            </w:tblGrid>
            <w:tr>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r>
                    <w:rPr>
                      <w:rFonts w:hint="eastAsia"/>
                    </w:rPr>
                    <w:t>－（</w:t>
                  </w:r>
                  <w:r>
                    <w:rPr>
                      <w:rFonts w:hint="eastAsia"/>
                    </w:rPr>
                    <w:t>A</w:t>
                  </w:r>
                  <w:r>
                    <w:rPr>
                      <w:rFonts w:hint="eastAsia"/>
                    </w:rPr>
                    <w:t>＋</w:t>
                  </w:r>
                  <w:r>
                    <w:rPr>
                      <w:rFonts w:hint="eastAsia"/>
                    </w:rPr>
                    <w:t>D</w:t>
                  </w:r>
                  <w:r>
                    <w:rPr>
                      <w:rFonts w:hint="eastAsia"/>
                    </w:rPr>
                    <w:t>）</w:t>
                  </w:r>
                </w:p>
              </w:tc>
              <w:tc>
                <w:tcPr>
                  <w:tcW w:w="284" w:type="dxa"/>
                  <w:vAlign w:val="top"/>
                </w:tcPr>
                <w:p>
                  <w:pPr>
                    <w:pStyle w:val="0"/>
                    <w:tabs>
                      <w:tab w:val="left" w:leader="none" w:pos="855"/>
                    </w:tabs>
                    <w:rPr>
                      <w:rFonts w:hint="default"/>
                    </w:rPr>
                  </w:pPr>
                </w:p>
              </w:tc>
              <w:tc>
                <w:tcPr>
                  <w:tcW w:w="1134" w:type="dxa"/>
                  <w:vMerge w:val="restart"/>
                  <w:vAlign w:val="center"/>
                </w:tcPr>
                <w:p>
                  <w:pPr>
                    <w:pStyle w:val="0"/>
                    <w:rPr>
                      <w:rFonts w:hint="default"/>
                    </w:rPr>
                  </w:pPr>
                  <w:r>
                    <w:rPr>
                      <w:rFonts w:hint="eastAsia"/>
                    </w:rPr>
                    <w:t>×１００</w:t>
                  </w:r>
                </w:p>
              </w:tc>
              <w:tc>
                <w:tcPr>
                  <w:tcW w:w="4257" w:type="dxa"/>
                  <w:vMerge w:val="restart"/>
                  <w:vAlign w:val="center"/>
                </w:tcPr>
                <w:p>
                  <w:pPr>
                    <w:pStyle w:val="0"/>
                    <w:jc w:val="right"/>
                    <w:rPr>
                      <w:rFonts w:hint="default"/>
                      <w:u w:val="single" w:color="auto"/>
                    </w:rPr>
                  </w:pPr>
                  <w:r>
                    <w:rPr>
                      <w:rFonts w:hint="eastAsia"/>
                      <w:u w:val="single" w:color="auto"/>
                    </w:rPr>
                    <w:t>減少率　　　　　　％（実績見込み）</w:t>
                  </w:r>
                </w:p>
              </w:tc>
            </w:tr>
            <w:tr>
              <w:trPr/>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p>
              </w:tc>
              <w:tc>
                <w:tcPr>
                  <w:tcW w:w="284" w:type="dxa"/>
                  <w:vAlign w:val="top"/>
                </w:tcPr>
                <w:p>
                  <w:pPr>
                    <w:pStyle w:val="0"/>
                    <w:rPr>
                      <w:rFonts w:hint="default"/>
                    </w:rPr>
                  </w:pPr>
                </w:p>
              </w:tc>
              <w:tc>
                <w:tcPr>
                  <w:tcW w:w="1134" w:type="dxa"/>
                  <w:vMerge w:val="continue"/>
                  <w:vAlign w:val="top"/>
                </w:tcPr>
                <w:p>
                  <w:pPr>
                    <w:pStyle w:val="0"/>
                    <w:rPr>
                      <w:rFonts w:hint="default"/>
                    </w:rPr>
                  </w:pPr>
                </w:p>
              </w:tc>
              <w:tc>
                <w:tcPr>
                  <w:tcW w:w="4257" w:type="dxa"/>
                  <w:vMerge w:val="continue"/>
                  <w:vAlign w:val="top"/>
                </w:tcPr>
                <w:p>
                  <w:pPr>
                    <w:pStyle w:val="0"/>
                    <w:rPr>
                      <w:rFonts w:hint="default"/>
                    </w:rPr>
                  </w:pPr>
                </w:p>
              </w:tc>
            </w:tr>
          </w:tbl>
          <w:p>
            <w:pPr>
              <w:pStyle w:val="0"/>
              <w:rPr>
                <w:rFonts w:hint="default"/>
              </w:rPr>
            </w:pPr>
            <w:r>
              <w:rPr>
                <w:rFonts w:hint="eastAsia"/>
              </w:rPr>
              <w:t>　　　　</w:t>
            </w:r>
            <w:r>
              <w:rPr>
                <w:rFonts w:hint="eastAsia"/>
              </w:rPr>
              <w:t>D</w:t>
            </w:r>
            <w:r>
              <w:rPr>
                <w:rFonts w:hint="eastAsia"/>
              </w:rPr>
              <w:t>：</w:t>
            </w:r>
            <w:r>
              <w:rPr>
                <w:rFonts w:hint="eastAsia"/>
              </w:rPr>
              <w:t>A</w:t>
            </w:r>
            <w:r>
              <w:rPr>
                <w:rFonts w:hint="eastAsia"/>
              </w:rPr>
              <w:t>の期間後２か月間の見込み売上高等　　　　　　　</w:t>
            </w:r>
            <w:r>
              <w:rPr>
                <w:rFonts w:hint="eastAsia"/>
                <w:u w:val="single" w:color="auto"/>
              </w:rPr>
              <w:t>　　　　　　　　　　　　円</w:t>
            </w:r>
          </w:p>
          <w:p>
            <w:pPr>
              <w:pStyle w:val="0"/>
              <w:rPr>
                <w:rFonts w:hint="default"/>
              </w:rPr>
            </w:pPr>
          </w:p>
          <w:p>
            <w:pPr>
              <w:pStyle w:val="0"/>
              <w:rPr>
                <w:rFonts w:hint="default"/>
              </w:rPr>
            </w:pPr>
            <w:r>
              <w:rPr>
                <w:rFonts w:hint="eastAsia"/>
              </w:rPr>
              <w:t>　３　売上高等が減少し、又は減少すると見込まれる理由</w:t>
            </w:r>
          </w:p>
          <w:p>
            <w:pPr>
              <w:pStyle w:val="0"/>
              <w:rPr>
                <w:rFonts w:hint="default"/>
              </w:rPr>
            </w:pPr>
          </w:p>
          <w:p>
            <w:pPr>
              <w:pStyle w:val="0"/>
              <w:rPr>
                <w:rFonts w:hint="default"/>
              </w:rPr>
            </w:pPr>
          </w:p>
          <w:p>
            <w:pPr>
              <w:pStyle w:val="0"/>
              <w:rPr>
                <w:rFonts w:hint="default"/>
              </w:rPr>
            </w:pPr>
          </w:p>
        </w:tc>
      </w:tr>
    </w:tbl>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（留意事項）</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①　本様式は、業歴３か月以上１年１か月未満の場合あるいは前年以降、事業拡大等により前年比較が適当でない特段の事情がある場合に使用します。</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②　本認定とは別に、金融機関及び信用保証協会による金融上の審査があります。</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③　妙高市長から認定を受けた後、本認定の有効期間内に金融機関又は信用保証協会に対して、経営安定関連保証の申込みを行うことが必要です。</w:t>
      </w:r>
    </w:p>
    <w:tbl>
      <w:tblPr>
        <w:tblStyle w:val="25"/>
        <w:tblW w:w="9742" w:type="dxa"/>
        <w:tblInd w:w="0" w:type="dxa"/>
        <w:tblLayout w:type="fixed"/>
        <w:tblLook w:firstRow="1" w:lastRow="0" w:firstColumn="1" w:lastColumn="0" w:noHBand="0" w:noVBand="1" w:val="04A0"/>
      </w:tblPr>
      <w:tblGrid>
        <w:gridCol w:w="9742"/>
      </w:tblGrid>
      <w:tr>
        <w:trPr/>
        <w:tc>
          <w:tcPr>
            <w:tcW w:w="9742" w:type="dxa"/>
            <w:vAlign w:val="top"/>
          </w:tcPr>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観　　第　　　　　　　号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jc w:val="left"/>
              <w:rPr>
                <w:rFonts w:hint="default" w:asciiTheme="majorEastAsia" w:hAnsiTheme="majorEastAsia" w:eastAsiaTheme="majorEastAsia"/>
              </w:rPr>
            </w:pPr>
            <w:r>
              <w:rPr>
                <w:rFonts w:hint="eastAsia" w:asciiTheme="majorEastAsia" w:hAnsiTheme="majorEastAsia" w:eastAsiaTheme="majorEastAsia"/>
              </w:rPr>
              <w:t>（注）本認定書の有効期間：　　　　年　　月　　日から　　　　年　　月　　日まで</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妙高市長　　　　　　　　　　</w:t>
            </w:r>
          </w:p>
          <w:p>
            <w:pPr>
              <w:pStyle w:val="0"/>
              <w:jc w:val="right"/>
              <w:rPr>
                <w:rFonts w:hint="default" w:asciiTheme="majorEastAsia" w:hAnsiTheme="majorEastAsia" w:eastAsiaTheme="majorEastAsia"/>
              </w:rPr>
            </w:pPr>
            <w:r>
              <w:rPr>
                <w:rFonts w:hint="eastAsia" w:asciiTheme="majorEastAsia" w:hAnsiTheme="majorEastAsia" w:eastAsiaTheme="majorEastAsia"/>
              </w:rPr>
              <w:t>　　　　　　</w:t>
            </w:r>
          </w:p>
        </w:tc>
      </w:tr>
    </w:tbl>
    <w:p>
      <w:pPr>
        <w:pStyle w:val="0"/>
        <w:rPr>
          <w:rFonts w:hint="default" w:asciiTheme="majorEastAsia" w:hAnsiTheme="majorEastAsia" w:eastAsiaTheme="majorEastAsia"/>
          <w:sz w:val="2"/>
        </w:rPr>
      </w:pPr>
    </w:p>
    <w:sectPr>
      <w:pgSz w:w="11906" w:h="16838"/>
      <w:pgMar w:top="283" w:right="1077" w:bottom="283" w:left="1077"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ajorEastAsia" w:hAnsiTheme="majorEastAsia" w:eastAsiaTheme="majorEastAsia"/>
    </w:rPr>
  </w:style>
  <w:style w:type="character" w:styleId="16" w:customStyle="1">
    <w:name w:val="記 (文字)"/>
    <w:basedOn w:val="10"/>
    <w:next w:val="16"/>
    <w:link w:val="15"/>
    <w:uiPriority w:val="0"/>
    <w:rPr>
      <w:rFonts w:asciiTheme="majorEastAsia" w:hAnsiTheme="majorEastAsia" w:eastAsiaTheme="majorEastAsia"/>
    </w:rPr>
  </w:style>
  <w:style w:type="paragraph" w:styleId="17">
    <w:name w:val="Closing"/>
    <w:basedOn w:val="0"/>
    <w:next w:val="17"/>
    <w:link w:val="18"/>
    <w:uiPriority w:val="0"/>
    <w:pPr>
      <w:jc w:val="right"/>
    </w:pPr>
    <w:rPr>
      <w:rFonts w:asciiTheme="majorEastAsia" w:hAnsiTheme="majorEastAsia" w:eastAsiaTheme="majorEastAsia"/>
    </w:rPr>
  </w:style>
  <w:style w:type="character" w:styleId="18" w:customStyle="1">
    <w:name w:val="結語 (文字)"/>
    <w:basedOn w:val="10"/>
    <w:next w:val="18"/>
    <w:link w:val="17"/>
    <w:uiPriority w:val="0"/>
    <w:rPr>
      <w:rFonts w:asciiTheme="majorEastAsia" w:hAnsiTheme="majorEastAsia" w:eastAsiaTheme="majorEastAsia"/>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137</Words>
  <Characters>783</Characters>
  <Application>JUST Note</Application>
  <Lines>6</Lines>
  <Paragraphs>1</Paragraphs>
  <CharactersWithSpaces>919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WS14156</dc:creator>
  <cp:lastModifiedBy>蒲地まりな</cp:lastModifiedBy>
  <cp:lastPrinted>2020-12-14T07:54:00Z</cp:lastPrinted>
  <dcterms:created xsi:type="dcterms:W3CDTF">2019-10-24T01:16:00Z</dcterms:created>
  <dcterms:modified xsi:type="dcterms:W3CDTF">2024-02-07T04:01:34Z</dcterms:modified>
  <cp:revision>7</cp:revision>
</cp:coreProperties>
</file>